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海淀</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3.申请单位纳税地在本区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57" w:right="0" w:hanging="357"/>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60天内</w:t>
      </w:r>
      <w:r>
        <w:rPr>
          <w:rFonts w:hint="eastAsia" w:ascii="微软雅黑" w:hAnsi="微软雅黑" w:eastAsia="微软雅黑" w:cs="微软雅黑"/>
          <w:b w:val="0"/>
          <w:bCs w:val="0"/>
          <w:i w:val="0"/>
          <w:iCs w:val="0"/>
          <w:caps w:val="0"/>
          <w:color w:val="3A3A3A"/>
          <w:spacing w:val="0"/>
          <w:sz w:val="22"/>
          <w:szCs w:val="22"/>
        </w:rPr>
        <w:t>（提前的和过期的均无法办理）</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jc w:val="both"/>
      </w:pPr>
      <w:r>
        <w:rPr>
          <w:rFonts w:hint="eastAsia" w:ascii="微软雅黑" w:hAnsi="微软雅黑" w:eastAsia="微软雅黑" w:cs="微软雅黑"/>
          <w:b w:val="0"/>
          <w:bCs w:val="0"/>
          <w:i w:val="0"/>
          <w:iCs w:val="0"/>
          <w:caps w:val="0"/>
          <w:color w:val="3A3A3A"/>
          <w:spacing w:val="0"/>
          <w:sz w:val="22"/>
          <w:szCs w:val="22"/>
        </w:rPr>
        <w:t>① 申请单位、《劳动合同》签订单位、个税扣缴和社保缴纳单位须为同一家单位，且声明书及申请表的日期应在1个月以内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11F32549"/>
    <w:rsid w:val="17E0529E"/>
    <w:rsid w:val="2E2A60BA"/>
    <w:rsid w:val="42E801AA"/>
    <w:rsid w:val="653E3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365F00AB57074515A97AA186AB0A7241</vt:lpwstr>
  </property>
</Properties>
</file>